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07" w:type="dxa"/>
        <w:jc w:val="center"/>
        <w:tblLook w:val="04A0" w:firstRow="1" w:lastRow="0" w:firstColumn="1" w:lastColumn="0" w:noHBand="0" w:noVBand="1"/>
      </w:tblPr>
      <w:tblGrid>
        <w:gridCol w:w="3335"/>
        <w:gridCol w:w="3335"/>
        <w:gridCol w:w="3337"/>
      </w:tblGrid>
      <w:tr w:rsidR="00742FA8" w:rsidRPr="005463B8" w14:paraId="131B86C3" w14:textId="77777777" w:rsidTr="0065032A">
        <w:trPr>
          <w:trHeight w:val="652"/>
          <w:jc w:val="center"/>
        </w:trPr>
        <w:tc>
          <w:tcPr>
            <w:tcW w:w="3335" w:type="dxa"/>
            <w:tcBorders>
              <w:right w:val="single" w:sz="4" w:space="0" w:color="44546A" w:themeColor="text2"/>
            </w:tcBorders>
            <w:shd w:val="clear" w:color="auto" w:fill="1F3864" w:themeFill="accent1" w:themeFillShade="80"/>
          </w:tcPr>
          <w:p w14:paraId="7834332A" w14:textId="77777777" w:rsidR="00034A43" w:rsidRDefault="00034A43" w:rsidP="00034A43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549270CD" w14:textId="07CBC4A6" w:rsidR="00034A43" w:rsidRPr="00906B87" w:rsidRDefault="00034A43" w:rsidP="00034A43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  <w:r w:rsidRPr="00906B87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 xml:space="preserve">Annual Rule of Law Report - Council of Europe </w:t>
            </w:r>
            <w:r w:rsidR="00C26983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contribution</w:t>
            </w:r>
          </w:p>
          <w:p w14:paraId="53B8847D" w14:textId="2C0C3A0F" w:rsidR="00742FA8" w:rsidRDefault="00742FA8" w:rsidP="00034A43">
            <w:pPr>
              <w:jc w:val="center"/>
              <w:rPr>
                <w:lang w:val="en-US"/>
              </w:rPr>
            </w:pPr>
          </w:p>
        </w:tc>
        <w:tc>
          <w:tcPr>
            <w:tcW w:w="3335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68BF9AA1" w14:textId="298AA34B" w:rsidR="00742FA8" w:rsidRDefault="00742FA8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6A74EFC" wp14:editId="1B8DF21D">
                  <wp:extent cx="1433946" cy="1461121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789" cy="1594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  <w:tcBorders>
              <w:left w:val="single" w:sz="4" w:space="0" w:color="44546A" w:themeColor="text2"/>
            </w:tcBorders>
            <w:shd w:val="clear" w:color="auto" w:fill="1F3864" w:themeFill="accent1" w:themeFillShade="80"/>
          </w:tcPr>
          <w:p w14:paraId="1059CE5E" w14:textId="08E43F51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375DBCE6" w14:textId="22249F6B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2975F1C0" w14:textId="77777777" w:rsidR="00034A43" w:rsidRDefault="00034A43" w:rsidP="00034A43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6B26AC0C" w14:textId="5479DE5A" w:rsidR="00742FA8" w:rsidRDefault="00034A43" w:rsidP="00034A43">
            <w:pPr>
              <w:jc w:val="center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  <w:r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202</w:t>
            </w:r>
            <w:r w:rsidR="00D86026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3</w:t>
            </w:r>
          </w:p>
          <w:p w14:paraId="4279D85E" w14:textId="77777777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199C0FEC" w14:textId="30B75DA9" w:rsidR="00742FA8" w:rsidRDefault="00742FA8" w:rsidP="00742FA8">
            <w:pPr>
              <w:jc w:val="right"/>
              <w:rPr>
                <w:lang w:val="en-US"/>
              </w:rPr>
            </w:pPr>
          </w:p>
        </w:tc>
      </w:tr>
      <w:tr w:rsidR="00906B87" w:rsidRPr="00D817BA" w14:paraId="425D15D4" w14:textId="77777777" w:rsidTr="0065032A">
        <w:trPr>
          <w:trHeight w:val="652"/>
          <w:jc w:val="center"/>
        </w:trPr>
        <w:tc>
          <w:tcPr>
            <w:tcW w:w="10007" w:type="dxa"/>
            <w:gridSpan w:val="3"/>
          </w:tcPr>
          <w:p w14:paraId="2D5EC9E1" w14:textId="77777777" w:rsidR="005728A3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4"/>
                <w:szCs w:val="24"/>
                <w:lang w:val="en-US"/>
              </w:rPr>
            </w:pPr>
          </w:p>
          <w:p w14:paraId="2FA02905" w14:textId="2E527BA9" w:rsidR="005728A3" w:rsidRPr="00034A43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034A43"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  <w:t>Directorate General Human Rights and Rule of Law (DG I)</w:t>
            </w:r>
          </w:p>
          <w:p w14:paraId="6BB60EA7" w14:textId="77777777" w:rsidR="00906B87" w:rsidRDefault="00906B87" w:rsidP="005728A3">
            <w:pPr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</w:tc>
      </w:tr>
    </w:tbl>
    <w:p w14:paraId="6FF74EBB" w14:textId="77777777" w:rsidR="00742FA8" w:rsidRPr="00282225" w:rsidRDefault="00742FA8">
      <w:pPr>
        <w:rPr>
          <w:lang w:val="en-US"/>
        </w:rPr>
      </w:pPr>
    </w:p>
    <w:p w14:paraId="0B15158E" w14:textId="48A15008" w:rsidR="002027E7" w:rsidRDefault="002027E7">
      <w:pPr>
        <w:rPr>
          <w:lang w:val="en-US"/>
        </w:rPr>
      </w:pPr>
    </w:p>
    <w:tbl>
      <w:tblPr>
        <w:tblStyle w:val="TableGrid"/>
        <w:tblW w:w="10008" w:type="dxa"/>
        <w:jc w:val="center"/>
        <w:tblLook w:val="04A0" w:firstRow="1" w:lastRow="0" w:firstColumn="1" w:lastColumn="0" w:noHBand="0" w:noVBand="1"/>
      </w:tblPr>
      <w:tblGrid>
        <w:gridCol w:w="10008"/>
      </w:tblGrid>
      <w:tr w:rsidR="006D3771" w14:paraId="25C8B22E" w14:textId="77777777" w:rsidTr="0065032A">
        <w:trPr>
          <w:trHeight w:val="249"/>
          <w:jc w:val="center"/>
        </w:trPr>
        <w:tc>
          <w:tcPr>
            <w:tcW w:w="10008" w:type="dxa"/>
            <w:shd w:val="clear" w:color="auto" w:fill="1F3864" w:themeFill="accent1" w:themeFillShade="80"/>
          </w:tcPr>
          <w:p w14:paraId="19F5558A" w14:textId="77777777" w:rsidR="006D3771" w:rsidRDefault="006D3771">
            <w:pPr>
              <w:rPr>
                <w:lang w:val="en-US"/>
              </w:rPr>
            </w:pPr>
          </w:p>
          <w:p w14:paraId="5BA8AE31" w14:textId="49DAAADC" w:rsidR="006D3771" w:rsidRPr="006D3771" w:rsidRDefault="007D198D" w:rsidP="006D3771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C</w:t>
            </w:r>
            <w:r w:rsidR="00CF1C6F">
              <w:rPr>
                <w:sz w:val="32"/>
                <w:szCs w:val="32"/>
                <w:lang w:val="en-US"/>
              </w:rPr>
              <w:t>yprus</w:t>
            </w:r>
          </w:p>
          <w:p w14:paraId="1EE0812F" w14:textId="73DF6167" w:rsidR="006D3771" w:rsidRDefault="006D3771">
            <w:pPr>
              <w:rPr>
                <w:lang w:val="en-US"/>
              </w:rPr>
            </w:pPr>
          </w:p>
        </w:tc>
      </w:tr>
    </w:tbl>
    <w:p w14:paraId="5BC2DC82" w14:textId="7135F9D1" w:rsidR="004A628B" w:rsidRDefault="004A628B" w:rsidP="004A628B">
      <w:pPr>
        <w:pStyle w:val="Heading1"/>
        <w:rPr>
          <w:lang w:val="en-US"/>
        </w:rPr>
      </w:pPr>
      <w:bookmarkStart w:id="0" w:name="_Toc36635809"/>
      <w:r>
        <w:rPr>
          <w:lang w:val="en-US"/>
        </w:rPr>
        <w:t xml:space="preserve">I </w:t>
      </w:r>
      <w:r w:rsidRPr="00546B57">
        <w:rPr>
          <w:lang w:val="en-US"/>
        </w:rPr>
        <w:t>Justice System</w:t>
      </w:r>
      <w:bookmarkEnd w:id="0"/>
      <w:r w:rsidRPr="00546B57">
        <w:rPr>
          <w:lang w:val="en-US"/>
        </w:rPr>
        <w:t xml:space="preserve"> </w:t>
      </w:r>
    </w:p>
    <w:p w14:paraId="5D9260C2" w14:textId="5303A1FB" w:rsidR="004A628B" w:rsidRDefault="004A628B" w:rsidP="004A628B">
      <w:pPr>
        <w:pStyle w:val="Default"/>
        <w:ind w:left="1080"/>
        <w:rPr>
          <w:color w:val="auto"/>
          <w:sz w:val="22"/>
          <w:szCs w:val="22"/>
          <w:lang w:val="en-US"/>
        </w:rPr>
      </w:pPr>
    </w:p>
    <w:p w14:paraId="3EAF3F4E" w14:textId="77777777" w:rsidR="003F52FC" w:rsidRPr="00710718" w:rsidRDefault="003D7012" w:rsidP="003F52FC">
      <w:pPr>
        <w:rPr>
          <w:rStyle w:val="Hyperlink"/>
          <w:rFonts w:eastAsiaTheme="minorHAnsi" w:cstheme="minorHAnsi"/>
          <w:lang w:val="en-US"/>
        </w:rPr>
      </w:pPr>
      <w:hyperlink r:id="rId9" w:history="1">
        <w:r w:rsidR="003F52FC" w:rsidRPr="00710718">
          <w:rPr>
            <w:rStyle w:val="Hyperlink"/>
            <w:rFonts w:cstheme="minorHAnsi"/>
            <w:lang w:val="en-US"/>
          </w:rPr>
          <w:t xml:space="preserve">CEPEJ Evaluation Report 2022 - Country Profile Cyprus </w:t>
        </w:r>
      </w:hyperlink>
    </w:p>
    <w:p w14:paraId="641C611C" w14:textId="77777777" w:rsidR="003F52FC" w:rsidRPr="00710718" w:rsidRDefault="003F52FC" w:rsidP="003F52FC">
      <w:pPr>
        <w:rPr>
          <w:rFonts w:cstheme="minorHAnsi"/>
          <w:lang w:val="en-GB"/>
        </w:rPr>
      </w:pPr>
    </w:p>
    <w:p w14:paraId="680AE5CF" w14:textId="771EB909" w:rsidR="003F52FC" w:rsidRPr="00710718" w:rsidRDefault="003D7012" w:rsidP="003F52FC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  <w:lang w:val="en-US"/>
        </w:rPr>
      </w:pPr>
      <w:hyperlink r:id="rId10" w:history="1">
        <w:r w:rsidR="003F52FC" w:rsidRPr="00710718">
          <w:rPr>
            <w:rStyle w:val="Hyperlink"/>
            <w:rFonts w:asciiTheme="minorHAnsi" w:hAnsiTheme="minorHAnsi" w:cstheme="minorHAnsi"/>
            <w:sz w:val="20"/>
            <w:szCs w:val="20"/>
            <w:lang w:val="en-GB"/>
          </w:rPr>
          <w:t>CEPEJ/Scoreboard - Country profile Cyprus</w:t>
        </w:r>
      </w:hyperlink>
    </w:p>
    <w:p w14:paraId="12518605" w14:textId="77777777" w:rsidR="00C26983" w:rsidRPr="00D817BA" w:rsidRDefault="00C26983" w:rsidP="003F52FC">
      <w:pPr>
        <w:pStyle w:val="Subtitle"/>
        <w:rPr>
          <w:rFonts w:asciiTheme="minorHAnsi" w:hAnsiTheme="minorHAnsi" w:cstheme="minorHAnsi"/>
          <w:sz w:val="20"/>
          <w:szCs w:val="20"/>
          <w:lang w:val="en-GB"/>
        </w:rPr>
      </w:pPr>
    </w:p>
    <w:p w14:paraId="10E69DF2" w14:textId="767320C2" w:rsidR="009369F3" w:rsidRPr="00710718" w:rsidRDefault="003D7012" w:rsidP="00C26983">
      <w:pPr>
        <w:pStyle w:val="Subtitle"/>
        <w:rPr>
          <w:rFonts w:asciiTheme="minorHAnsi" w:eastAsia="Times New Roman" w:hAnsiTheme="minorHAnsi" w:cstheme="minorHAnsi"/>
          <w:color w:val="000000"/>
          <w:sz w:val="20"/>
          <w:szCs w:val="20"/>
          <w:lang w:val="en-US"/>
        </w:rPr>
      </w:pPr>
      <w:hyperlink r:id="rId11" w:history="1">
        <w:r w:rsidR="003F52FC" w:rsidRPr="00710718">
          <w:rPr>
            <w:rStyle w:val="Hyperlink"/>
            <w:rFonts w:asciiTheme="minorHAnsi" w:eastAsia="Times New Roman" w:hAnsiTheme="minorHAnsi" w:cstheme="minorHAnsi"/>
            <w:sz w:val="20"/>
            <w:szCs w:val="20"/>
            <w:lang w:val="en-GB"/>
          </w:rPr>
          <w:t>CEPEJ General Country profile - Cyprus</w:t>
        </w:r>
      </w:hyperlink>
    </w:p>
    <w:p w14:paraId="66DB79BB" w14:textId="6DD9EFD8" w:rsidR="00754B40" w:rsidRPr="00710718" w:rsidRDefault="00754B40" w:rsidP="00754B40">
      <w:pPr>
        <w:rPr>
          <w:rFonts w:cstheme="minorHAnsi"/>
          <w:lang w:val="en-US"/>
        </w:rPr>
      </w:pPr>
    </w:p>
    <w:p w14:paraId="45A0AEE9" w14:textId="37A32AF5" w:rsidR="00140701" w:rsidRPr="00710718" w:rsidRDefault="003D7012" w:rsidP="00140701">
      <w:pPr>
        <w:pStyle w:val="NoSpacing"/>
        <w:rPr>
          <w:rFonts w:cstheme="minorHAnsi"/>
          <w:color w:val="161616"/>
          <w:lang w:val="en-GB"/>
        </w:rPr>
      </w:pPr>
      <w:hyperlink r:id="rId12" w:history="1">
        <w:r w:rsidR="00C26983" w:rsidRPr="00710718">
          <w:rPr>
            <w:rStyle w:val="Hyperlink"/>
            <w:rFonts w:cstheme="minorHAnsi"/>
            <w:lang w:val="en-GB"/>
          </w:rPr>
          <w:t>GRECO A</w:t>
        </w:r>
        <w:r w:rsidR="00140701" w:rsidRPr="00710718">
          <w:rPr>
            <w:rStyle w:val="Hyperlink"/>
            <w:rFonts w:cstheme="minorHAnsi"/>
            <w:lang w:val="en-GB"/>
          </w:rPr>
          <w:t>ddendum to the 2nd Compliance Report</w:t>
        </w:r>
      </w:hyperlink>
      <w:r w:rsidR="00C26983" w:rsidRPr="00710718">
        <w:rPr>
          <w:rStyle w:val="Hyperlink"/>
          <w:rFonts w:cstheme="minorHAnsi"/>
          <w:u w:val="none"/>
          <w:lang w:val="en-GB"/>
        </w:rPr>
        <w:t xml:space="preserve"> </w:t>
      </w:r>
      <w:r w:rsidR="00C26983" w:rsidRPr="00710718">
        <w:rPr>
          <w:rStyle w:val="Hyperlink"/>
          <w:rFonts w:cstheme="minorHAnsi"/>
          <w:color w:val="auto"/>
          <w:u w:val="none"/>
          <w:lang w:val="en-GB"/>
        </w:rPr>
        <w:t>(</w:t>
      </w:r>
      <w:r w:rsidR="00C26983" w:rsidRPr="00710718">
        <w:rPr>
          <w:rFonts w:cstheme="minorHAnsi"/>
          <w:lang w:val="en-GB"/>
        </w:rPr>
        <w:t>8 July 2022)</w:t>
      </w:r>
      <w:hyperlink r:id="rId13" w:history="1"/>
    </w:p>
    <w:p w14:paraId="77EA8BC1" w14:textId="6186CC8B" w:rsidR="007F0F9C" w:rsidRPr="00710718" w:rsidRDefault="00140701" w:rsidP="00754B40">
      <w:pPr>
        <w:rPr>
          <w:rFonts w:cstheme="minorHAnsi"/>
          <w:lang w:val="en-GB"/>
        </w:rPr>
      </w:pPr>
      <w:r w:rsidRPr="00710718">
        <w:rPr>
          <w:rFonts w:cstheme="minorHAnsi"/>
          <w:lang w:val="en-GB"/>
        </w:rPr>
        <w:t>4</w:t>
      </w:r>
      <w:r w:rsidRPr="00710718">
        <w:rPr>
          <w:rFonts w:cstheme="minorHAnsi"/>
          <w:vertAlign w:val="superscript"/>
          <w:lang w:val="en-GB"/>
        </w:rPr>
        <w:t>th</w:t>
      </w:r>
      <w:r w:rsidRPr="00710718">
        <w:rPr>
          <w:rFonts w:cstheme="minorHAnsi"/>
          <w:lang w:val="en-GB"/>
        </w:rPr>
        <w:t xml:space="preserve"> round: Addendum to the second Compliance report corruption prevention in respect of MPs, </w:t>
      </w:r>
      <w:proofErr w:type="gramStart"/>
      <w:r w:rsidRPr="00710718">
        <w:rPr>
          <w:rFonts w:cstheme="minorHAnsi"/>
          <w:lang w:val="en-GB"/>
        </w:rPr>
        <w:t>judges</w:t>
      </w:r>
      <w:proofErr w:type="gramEnd"/>
      <w:r w:rsidRPr="00710718">
        <w:rPr>
          <w:rFonts w:cstheme="minorHAnsi"/>
          <w:lang w:val="en-GB"/>
        </w:rPr>
        <w:t xml:space="preserve"> and prosecutors</w:t>
      </w:r>
    </w:p>
    <w:p w14:paraId="43766193" w14:textId="77777777" w:rsidR="0096152A" w:rsidRPr="00710718" w:rsidRDefault="0096152A" w:rsidP="000A69F3">
      <w:pPr>
        <w:rPr>
          <w:rFonts w:cstheme="minorHAnsi"/>
          <w:lang w:val="en-US"/>
        </w:rPr>
      </w:pPr>
    </w:p>
    <w:p w14:paraId="2371BE35" w14:textId="0B61D6B4" w:rsidR="000A69F3" w:rsidRPr="00710718" w:rsidRDefault="000A69F3" w:rsidP="000A69F3">
      <w:pPr>
        <w:rPr>
          <w:rFonts w:cstheme="minorHAnsi"/>
          <w:lang w:val="en-US"/>
        </w:rPr>
      </w:pPr>
      <w:r w:rsidRPr="00710718">
        <w:rPr>
          <w:rFonts w:cstheme="minorHAnsi"/>
          <w:lang w:val="en-US"/>
        </w:rPr>
        <w:t xml:space="preserve">Department for the </w:t>
      </w:r>
      <w:r w:rsidR="00C26983" w:rsidRPr="00710718">
        <w:rPr>
          <w:rFonts w:cstheme="minorHAnsi"/>
          <w:lang w:val="en-US"/>
        </w:rPr>
        <w:t>I</w:t>
      </w:r>
      <w:r w:rsidRPr="00710718">
        <w:rPr>
          <w:rFonts w:cstheme="minorHAnsi"/>
          <w:lang w:val="en-US"/>
        </w:rPr>
        <w:t xml:space="preserve">mplementation of </w:t>
      </w:r>
      <w:r w:rsidR="00C26983" w:rsidRPr="00710718">
        <w:rPr>
          <w:rFonts w:cstheme="minorHAnsi"/>
          <w:lang w:val="en-US"/>
        </w:rPr>
        <w:t>H</w:t>
      </w:r>
      <w:r w:rsidRPr="00710718">
        <w:rPr>
          <w:rFonts w:cstheme="minorHAnsi"/>
          <w:lang w:val="en-US"/>
        </w:rPr>
        <w:t xml:space="preserve">uman </w:t>
      </w:r>
      <w:r w:rsidR="00C26983" w:rsidRPr="00710718">
        <w:rPr>
          <w:rFonts w:cstheme="minorHAnsi"/>
          <w:lang w:val="en-US"/>
        </w:rPr>
        <w:t>R</w:t>
      </w:r>
      <w:r w:rsidRPr="00710718">
        <w:rPr>
          <w:rFonts w:cstheme="minorHAnsi"/>
          <w:lang w:val="en-US"/>
        </w:rPr>
        <w:t xml:space="preserve">ights, </w:t>
      </w:r>
      <w:proofErr w:type="gramStart"/>
      <w:r w:rsidR="00C26983" w:rsidRPr="00710718">
        <w:rPr>
          <w:rFonts w:cstheme="minorHAnsi"/>
          <w:lang w:val="en-US"/>
        </w:rPr>
        <w:t>J</w:t>
      </w:r>
      <w:r w:rsidRPr="00710718">
        <w:rPr>
          <w:rFonts w:cstheme="minorHAnsi"/>
          <w:lang w:val="en-US"/>
        </w:rPr>
        <w:t>ustice</w:t>
      </w:r>
      <w:proofErr w:type="gramEnd"/>
      <w:r w:rsidRPr="00710718">
        <w:rPr>
          <w:rFonts w:cstheme="minorHAnsi"/>
          <w:lang w:val="en-US"/>
        </w:rPr>
        <w:t xml:space="preserve"> and </w:t>
      </w:r>
      <w:r w:rsidR="00C26983" w:rsidRPr="00710718">
        <w:rPr>
          <w:rFonts w:cstheme="minorHAnsi"/>
          <w:lang w:val="en-US"/>
        </w:rPr>
        <w:t>L</w:t>
      </w:r>
      <w:r w:rsidRPr="00710718">
        <w:rPr>
          <w:rFonts w:cstheme="minorHAnsi"/>
          <w:lang w:val="en-US"/>
        </w:rPr>
        <w:t xml:space="preserve">egal </w:t>
      </w:r>
      <w:r w:rsidR="00C26983" w:rsidRPr="00710718">
        <w:rPr>
          <w:rFonts w:cstheme="minorHAnsi"/>
          <w:lang w:val="en-US"/>
        </w:rPr>
        <w:t>C</w:t>
      </w:r>
      <w:r w:rsidRPr="00710718">
        <w:rPr>
          <w:rFonts w:cstheme="minorHAnsi"/>
          <w:lang w:val="en-US"/>
        </w:rPr>
        <w:t xml:space="preserve">o-operation </w:t>
      </w:r>
      <w:r w:rsidR="00C26983" w:rsidRPr="00710718">
        <w:rPr>
          <w:rFonts w:cstheme="minorHAnsi"/>
          <w:lang w:val="en-US"/>
        </w:rPr>
        <w:t>S</w:t>
      </w:r>
      <w:r w:rsidRPr="00710718">
        <w:rPr>
          <w:rFonts w:cstheme="minorHAnsi"/>
          <w:lang w:val="en-US"/>
        </w:rPr>
        <w:t>tandards</w:t>
      </w:r>
    </w:p>
    <w:p w14:paraId="088DFBE7" w14:textId="2F8A285C" w:rsidR="000D09ED" w:rsidRPr="00710718" w:rsidRDefault="000A69F3" w:rsidP="00C26983">
      <w:pPr>
        <w:jc w:val="both"/>
        <w:rPr>
          <w:rStyle w:val="Hyperlink"/>
          <w:rFonts w:cstheme="minorHAnsi"/>
          <w:color w:val="auto"/>
          <w:u w:val="none"/>
          <w:lang w:val="en-GB"/>
        </w:rPr>
      </w:pPr>
      <w:r w:rsidRPr="00710718">
        <w:rPr>
          <w:rFonts w:cstheme="minorHAnsi"/>
          <w:lang w:val="en-US"/>
        </w:rPr>
        <w:t>T</w:t>
      </w:r>
      <w:r w:rsidRPr="00710718">
        <w:rPr>
          <w:rFonts w:cstheme="minorHAnsi"/>
          <w:color w:val="000000"/>
          <w:lang w:val="en-GB"/>
        </w:rPr>
        <w:t xml:space="preserve">he </w:t>
      </w:r>
      <w:hyperlink r:id="rId14" w:history="1">
        <w:r w:rsidRPr="00710718">
          <w:rPr>
            <w:rStyle w:val="Hyperlink"/>
            <w:rFonts w:cstheme="minorHAnsi"/>
            <w:lang w:val="en-GB"/>
          </w:rPr>
          <w:t>modernisation of the Civil Procedure Rules in Cyprus</w:t>
        </w:r>
      </w:hyperlink>
      <w:r w:rsidRPr="00710718">
        <w:rPr>
          <w:rFonts w:cstheme="minorHAnsi"/>
          <w:color w:val="161616"/>
          <w:lang w:val="en-GB"/>
        </w:rPr>
        <w:t xml:space="preserve"> is ongoing and the new Rules were adopted by the Supreme Court with the support of a joint project of the European Union and Council of Europe. The adoption of the </w:t>
      </w:r>
      <w:hyperlink r:id="rId15" w:history="1">
        <w:r w:rsidRPr="00710718">
          <w:rPr>
            <w:rStyle w:val="Hyperlink"/>
            <w:rFonts w:cstheme="minorHAnsi"/>
            <w:color w:val="007BC8"/>
            <w:lang w:val="en-GB"/>
          </w:rPr>
          <w:t>new Civil Procedure Rules</w:t>
        </w:r>
      </w:hyperlink>
      <w:r w:rsidRPr="00710718">
        <w:rPr>
          <w:rFonts w:cstheme="minorHAnsi"/>
          <w:color w:val="161616"/>
          <w:lang w:val="en-GB"/>
        </w:rPr>
        <w:t xml:space="preserve">, which took place for the first time during the last 60 years, was </w:t>
      </w:r>
      <w:r w:rsidR="00C26983" w:rsidRPr="00710718">
        <w:rPr>
          <w:rFonts w:cstheme="minorHAnsi"/>
          <w:color w:val="161616"/>
          <w:lang w:val="en-GB"/>
        </w:rPr>
        <w:t xml:space="preserve"> a key</w:t>
      </w:r>
      <w:r w:rsidRPr="00710718">
        <w:rPr>
          <w:rFonts w:cstheme="minorHAnsi"/>
          <w:color w:val="161616"/>
          <w:lang w:val="en-GB"/>
        </w:rPr>
        <w:t xml:space="preserve"> </w:t>
      </w:r>
      <w:r w:rsidR="00C26983" w:rsidRPr="00710718">
        <w:rPr>
          <w:rFonts w:cstheme="minorHAnsi"/>
          <w:color w:val="161616"/>
          <w:lang w:val="en-GB"/>
        </w:rPr>
        <w:t xml:space="preserve">project </w:t>
      </w:r>
      <w:r w:rsidRPr="00710718">
        <w:rPr>
          <w:rFonts w:cstheme="minorHAnsi"/>
          <w:color w:val="161616"/>
          <w:lang w:val="en-GB"/>
        </w:rPr>
        <w:t xml:space="preserve">achievement. </w:t>
      </w:r>
      <w:r w:rsidR="00C26983" w:rsidRPr="00710718">
        <w:rPr>
          <w:rFonts w:cstheme="minorHAnsi"/>
          <w:color w:val="161616"/>
          <w:lang w:val="en-GB"/>
        </w:rPr>
        <w:t>S</w:t>
      </w:r>
      <w:r w:rsidRPr="00710718">
        <w:rPr>
          <w:rFonts w:cstheme="minorHAnsi"/>
          <w:color w:val="161616"/>
          <w:lang w:val="en-GB"/>
        </w:rPr>
        <w:t xml:space="preserve">upport </w:t>
      </w:r>
      <w:r w:rsidR="00C26983" w:rsidRPr="00710718">
        <w:rPr>
          <w:rFonts w:cstheme="minorHAnsi"/>
          <w:color w:val="161616"/>
          <w:lang w:val="en-GB"/>
        </w:rPr>
        <w:t>to</w:t>
      </w:r>
      <w:r w:rsidRPr="00710718">
        <w:rPr>
          <w:rFonts w:cstheme="minorHAnsi"/>
          <w:color w:val="161616"/>
          <w:lang w:val="en-GB"/>
        </w:rPr>
        <w:t xml:space="preserve"> the</w:t>
      </w:r>
      <w:r w:rsidRPr="00710718">
        <w:rPr>
          <w:rFonts w:cstheme="minorHAnsi"/>
          <w:color w:val="000000"/>
          <w:lang w:val="en-GB"/>
        </w:rPr>
        <w:t xml:space="preserve"> reform process in Cyprus to </w:t>
      </w:r>
      <w:hyperlink r:id="rId16" w:history="1">
        <w:r w:rsidRPr="00710718">
          <w:rPr>
            <w:rStyle w:val="Hyperlink"/>
            <w:rFonts w:cstheme="minorHAnsi"/>
            <w:lang w:val="en-GB"/>
          </w:rPr>
          <w:t>improve the efficiency of the court system continued</w:t>
        </w:r>
      </w:hyperlink>
      <w:r w:rsidR="00C26983" w:rsidRPr="00710718">
        <w:rPr>
          <w:rStyle w:val="Hyperlink"/>
          <w:rFonts w:cstheme="minorHAnsi"/>
          <w:color w:val="auto"/>
          <w:u w:val="none"/>
          <w:lang w:val="en-GB"/>
        </w:rPr>
        <w:t xml:space="preserve">. </w:t>
      </w:r>
    </w:p>
    <w:p w14:paraId="623B10BC" w14:textId="0EFDE8CC" w:rsidR="0096152A" w:rsidRPr="00710718" w:rsidRDefault="0096152A" w:rsidP="00C26983">
      <w:pPr>
        <w:jc w:val="both"/>
        <w:rPr>
          <w:rStyle w:val="Hyperlink"/>
          <w:rFonts w:cstheme="minorHAnsi"/>
          <w:color w:val="auto"/>
          <w:u w:val="none"/>
          <w:lang w:val="en-GB"/>
        </w:rPr>
      </w:pPr>
    </w:p>
    <w:p w14:paraId="29964897" w14:textId="42DA4C6A" w:rsidR="007C4EF6" w:rsidRDefault="0096152A" w:rsidP="00C26983">
      <w:pPr>
        <w:jc w:val="both"/>
        <w:rPr>
          <w:rFonts w:cstheme="minorHAnsi"/>
          <w:lang w:val="en-GB"/>
        </w:rPr>
      </w:pPr>
      <w:r w:rsidRPr="00710718">
        <w:rPr>
          <w:rFonts w:cstheme="minorHAnsi"/>
          <w:lang w:val="en-GB"/>
        </w:rPr>
        <w:t xml:space="preserve">Execution of judgments in </w:t>
      </w:r>
      <w:hyperlink r:id="rId17" w:history="1">
        <w:r w:rsidRPr="00710718">
          <w:rPr>
            <w:rStyle w:val="Hyperlink"/>
            <w:rFonts w:cstheme="minorHAnsi"/>
            <w:lang w:val="en-GB"/>
          </w:rPr>
          <w:t>Cyprus</w:t>
        </w:r>
      </w:hyperlink>
      <w:r w:rsidRPr="00710718">
        <w:rPr>
          <w:rFonts w:cstheme="minorHAnsi"/>
          <w:lang w:val="en-GB"/>
        </w:rPr>
        <w:t xml:space="preserve"> </w:t>
      </w:r>
    </w:p>
    <w:tbl>
      <w:tblPr>
        <w:tblW w:w="89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8262"/>
        <w:gridCol w:w="270"/>
      </w:tblGrid>
      <w:tr w:rsidR="007C4EF6" w:rsidRPr="00D817BA" w14:paraId="41765CE5" w14:textId="77777777" w:rsidTr="007C4EF6">
        <w:tc>
          <w:tcPr>
            <w:tcW w:w="8684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2DB0D" w14:textId="3E2DD6BD" w:rsidR="00C74DD4" w:rsidRPr="00C74DD4" w:rsidRDefault="007C4EF6" w:rsidP="00C74DD4">
            <w:pPr>
              <w:spacing w:before="240"/>
              <w:rPr>
                <w:rFonts w:cstheme="minorHAnsi"/>
                <w:color w:val="333333"/>
                <w:lang w:val="en-GB"/>
              </w:rPr>
            </w:pPr>
            <w:proofErr w:type="spellStart"/>
            <w:r w:rsidRPr="00C74DD4">
              <w:rPr>
                <w:rFonts w:cstheme="minorHAnsi"/>
                <w:color w:val="333333"/>
                <w:lang w:val="en-GB"/>
              </w:rPr>
              <w:t>Khani</w:t>
            </w:r>
            <w:proofErr w:type="spellEnd"/>
            <w:r w:rsidRPr="00C74DD4">
              <w:rPr>
                <w:rFonts w:cstheme="minorHAnsi"/>
                <w:color w:val="333333"/>
                <w:lang w:val="en-GB"/>
              </w:rPr>
              <w:t xml:space="preserve"> </w:t>
            </w:r>
            <w:proofErr w:type="spellStart"/>
            <w:r w:rsidRPr="00C74DD4">
              <w:rPr>
                <w:rFonts w:cstheme="minorHAnsi"/>
                <w:color w:val="333333"/>
                <w:lang w:val="en-GB"/>
              </w:rPr>
              <w:t>Kabbara</w:t>
            </w:r>
            <w:proofErr w:type="spellEnd"/>
            <w:r w:rsidRPr="00C74DD4">
              <w:rPr>
                <w:rFonts w:cstheme="minorHAnsi"/>
                <w:color w:val="333333"/>
                <w:lang w:val="en-GB"/>
              </w:rPr>
              <w:t xml:space="preserve"> group v. Cyprus (Application No. 24459/12)</w:t>
            </w:r>
          </w:p>
          <w:tbl>
            <w:tblPr>
              <w:tblW w:w="0" w:type="auto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5707"/>
            </w:tblGrid>
            <w:tr w:rsidR="00C74DD4" w:rsidRPr="00C74DD4" w14:paraId="346351A4" w14:textId="77777777" w:rsidTr="00C74DD4">
              <w:tblPrEx>
                <w:tblCellMar>
                  <w:top w:w="0" w:type="dxa"/>
                  <w:bottom w:w="0" w:type="dxa"/>
                </w:tblCellMar>
              </w:tblPrEx>
              <w:trPr>
                <w:trHeight w:val="80"/>
              </w:trPr>
              <w:tc>
                <w:tcPr>
                  <w:tcW w:w="57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A386C" w14:textId="77777777" w:rsidR="00C74DD4" w:rsidRPr="00C74DD4" w:rsidRDefault="00C74DD4" w:rsidP="00C74DD4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color w:val="000000"/>
                      <w:lang w:val="en-GB"/>
                    </w:rPr>
                  </w:pPr>
                  <w:r w:rsidRPr="00C74DD4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 </w:t>
                  </w:r>
                  <w:r w:rsidRPr="00C74DD4">
                    <w:rPr>
                      <w:rFonts w:ascii="Calibri" w:hAnsi="Calibri" w:cs="Calibri"/>
                      <w:b/>
                      <w:bCs/>
                      <w:color w:val="000000"/>
                      <w:lang w:val="en-GB"/>
                    </w:rPr>
                    <w:t xml:space="preserve">Ill-treatment by police officers </w:t>
                  </w:r>
                  <w:r w:rsidRPr="00C74DD4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and lack of effective investigation. </w:t>
                  </w:r>
                </w:p>
              </w:tc>
            </w:tr>
          </w:tbl>
          <w:p w14:paraId="2DB3889D" w14:textId="6E3F8CD2" w:rsidR="00C74DD4" w:rsidRPr="00C74DD4" w:rsidRDefault="00C74DD4">
            <w:pPr>
              <w:spacing w:before="240"/>
              <w:rPr>
                <w:rFonts w:cstheme="minorHAnsi"/>
                <w:color w:val="333333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B8CBE88" w14:textId="77777777" w:rsidR="007C4EF6" w:rsidRPr="007C4EF6" w:rsidRDefault="007C4EF6">
            <w:pPr>
              <w:rPr>
                <w:rFonts w:ascii="Open Sans" w:hAnsi="Open Sans" w:cs="Open Sans"/>
                <w:color w:val="333333"/>
                <w:lang w:val="en-GB"/>
              </w:rPr>
            </w:pPr>
          </w:p>
        </w:tc>
      </w:tr>
      <w:tr w:rsidR="007C4EF6" w14:paraId="5F85E4BC" w14:textId="77777777" w:rsidTr="007C4EF6">
        <w:tc>
          <w:tcPr>
            <w:tcW w:w="4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8EBFE" w14:textId="77777777" w:rsidR="007C4EF6" w:rsidRPr="00C74DD4" w:rsidRDefault="007C4EF6">
            <w:pPr>
              <w:rPr>
                <w:rFonts w:cstheme="minorHAnsi"/>
                <w:lang w:val="en-GB"/>
              </w:rPr>
            </w:pPr>
          </w:p>
        </w:tc>
        <w:tc>
          <w:tcPr>
            <w:tcW w:w="82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254CC" w14:textId="77777777" w:rsidR="007C4EF6" w:rsidRPr="00C74DD4" w:rsidRDefault="003D7012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hyperlink r:id="rId18" w:history="1">
              <w:r w:rsidR="007C4EF6" w:rsidRPr="00C74DD4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</w:t>
              </w:r>
              <w:proofErr w:type="spellStart"/>
              <w:proofErr w:type="gramStart"/>
              <w:r w:rsidR="007C4EF6" w:rsidRPr="00C74DD4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Dec</w:t>
              </w:r>
              <w:proofErr w:type="spellEnd"/>
              <w:r w:rsidR="007C4EF6" w:rsidRPr="00C74DD4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(</w:t>
              </w:r>
              <w:proofErr w:type="gramEnd"/>
              <w:r w:rsidR="007C4EF6" w:rsidRPr="00C74DD4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2022)1451/H46-10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35C1B08" w14:textId="77777777" w:rsidR="007C4EF6" w:rsidRDefault="007C4EF6"/>
        </w:tc>
      </w:tr>
    </w:tbl>
    <w:p w14:paraId="1E364F83" w14:textId="77777777" w:rsidR="00D817BA" w:rsidRDefault="00D817BA" w:rsidP="00D817BA">
      <w:pPr>
        <w:pStyle w:val="Heading1"/>
        <w:spacing w:before="0"/>
        <w:rPr>
          <w:rFonts w:asciiTheme="minorHAnsi" w:eastAsiaTheme="minorEastAsia" w:hAnsiTheme="minorHAnsi" w:cstheme="minorHAnsi"/>
          <w:color w:val="161616"/>
          <w:sz w:val="20"/>
          <w:szCs w:val="20"/>
          <w:lang w:val="en-GB"/>
        </w:rPr>
      </w:pPr>
      <w:bookmarkStart w:id="1" w:name="_Toc36635832"/>
    </w:p>
    <w:p w14:paraId="2F8FA009" w14:textId="70FC6833" w:rsidR="00D817BA" w:rsidRDefault="00D817BA" w:rsidP="00D817BA">
      <w:pPr>
        <w:pStyle w:val="Heading1"/>
        <w:spacing w:before="0"/>
        <w:rPr>
          <w:rFonts w:asciiTheme="minorHAnsi" w:eastAsiaTheme="minorEastAsia" w:hAnsiTheme="minorHAnsi" w:cstheme="minorHAnsi"/>
          <w:color w:val="161616"/>
          <w:sz w:val="20"/>
          <w:szCs w:val="20"/>
          <w:lang w:val="en-GB"/>
        </w:rPr>
      </w:pPr>
      <w:r>
        <w:rPr>
          <w:rFonts w:asciiTheme="minorHAnsi" w:eastAsiaTheme="minorEastAsia" w:hAnsiTheme="minorHAnsi" w:cstheme="minorHAnsi"/>
          <w:color w:val="161616"/>
          <w:sz w:val="20"/>
          <w:szCs w:val="20"/>
          <w:lang w:val="en-GB"/>
        </w:rPr>
        <w:t>CPT</w:t>
      </w:r>
    </w:p>
    <w:p w14:paraId="6706E24D" w14:textId="6FB435CC" w:rsidR="00D817BA" w:rsidRPr="00D817BA" w:rsidRDefault="00D817BA" w:rsidP="00D817BA">
      <w:pPr>
        <w:pStyle w:val="Heading1"/>
        <w:spacing w:before="0"/>
        <w:jc w:val="both"/>
        <w:rPr>
          <w:rFonts w:asciiTheme="minorHAnsi" w:eastAsiaTheme="minorEastAsia" w:hAnsiTheme="minorHAnsi" w:cstheme="minorHAnsi"/>
          <w:color w:val="161616"/>
          <w:sz w:val="20"/>
          <w:szCs w:val="20"/>
          <w:lang w:val="en-GB"/>
        </w:rPr>
      </w:pPr>
      <w:r w:rsidRPr="00D817BA">
        <w:rPr>
          <w:rFonts w:asciiTheme="minorHAnsi" w:eastAsiaTheme="minorEastAsia" w:hAnsiTheme="minorHAnsi" w:cstheme="minorHAnsi"/>
          <w:color w:val="161616"/>
          <w:sz w:val="20"/>
          <w:szCs w:val="20"/>
          <w:lang w:val="en-GB"/>
        </w:rPr>
        <w:t xml:space="preserve">A CPT delegation carried out an ad hoc visit to </w:t>
      </w:r>
      <w:r>
        <w:rPr>
          <w:rFonts w:asciiTheme="minorHAnsi" w:eastAsiaTheme="minorEastAsia" w:hAnsiTheme="minorHAnsi" w:cstheme="minorHAnsi"/>
          <w:color w:val="161616"/>
          <w:sz w:val="20"/>
          <w:szCs w:val="20"/>
          <w:lang w:val="en-GB"/>
        </w:rPr>
        <w:t>Cyprus</w:t>
      </w:r>
      <w:r w:rsidRPr="00D817BA">
        <w:rPr>
          <w:rFonts w:asciiTheme="minorHAnsi" w:eastAsiaTheme="minorEastAsia" w:hAnsiTheme="minorHAnsi" w:cstheme="minorHAnsi"/>
          <w:color w:val="161616"/>
          <w:sz w:val="20"/>
          <w:szCs w:val="20"/>
          <w:lang w:val="en-GB"/>
        </w:rPr>
        <w:t xml:space="preserve"> from 7 to</w:t>
      </w:r>
      <w:r>
        <w:rPr>
          <w:rFonts w:asciiTheme="minorHAnsi" w:eastAsiaTheme="minorEastAsia" w:hAnsiTheme="minorHAnsi" w:cstheme="minorHAnsi"/>
          <w:color w:val="161616"/>
          <w:sz w:val="20"/>
          <w:szCs w:val="20"/>
          <w:lang w:val="en-GB"/>
        </w:rPr>
        <w:t xml:space="preserve"> 9</w:t>
      </w:r>
      <w:r w:rsidRPr="00D817BA">
        <w:rPr>
          <w:rFonts w:asciiTheme="minorHAnsi" w:eastAsiaTheme="minorEastAsia" w:hAnsiTheme="minorHAnsi" w:cstheme="minorHAnsi"/>
          <w:color w:val="161616"/>
          <w:sz w:val="20"/>
          <w:szCs w:val="20"/>
          <w:lang w:val="en-GB"/>
        </w:rPr>
        <w:t xml:space="preserve"> November 2022 to </w:t>
      </w:r>
      <w:r>
        <w:rPr>
          <w:rFonts w:asciiTheme="minorHAnsi" w:eastAsiaTheme="minorEastAsia" w:hAnsiTheme="minorHAnsi" w:cstheme="minorHAnsi"/>
          <w:color w:val="161616"/>
          <w:sz w:val="20"/>
          <w:szCs w:val="20"/>
          <w:lang w:val="en-GB"/>
        </w:rPr>
        <w:t xml:space="preserve">examine the conditions of detention and the treatment in a detention centre for foreign nationals </w:t>
      </w:r>
      <w:r w:rsidRPr="00D817BA">
        <w:rPr>
          <w:rFonts w:asciiTheme="minorHAnsi" w:eastAsiaTheme="minorEastAsia" w:hAnsiTheme="minorHAnsi" w:cstheme="minorHAnsi"/>
          <w:color w:val="161616"/>
          <w:sz w:val="20"/>
          <w:szCs w:val="20"/>
          <w:lang w:val="en-GB"/>
        </w:rPr>
        <w:t xml:space="preserve"> (see </w:t>
      </w:r>
      <w:hyperlink r:id="rId19" w:history="1">
        <w:r w:rsidRPr="00D817BA">
          <w:rPr>
            <w:rFonts w:asciiTheme="minorHAnsi" w:eastAsiaTheme="minorEastAsia" w:hAnsiTheme="minorHAnsi"/>
            <w:color w:val="161616"/>
            <w:sz w:val="20"/>
            <w:szCs w:val="20"/>
            <w:lang w:val="en-GB"/>
          </w:rPr>
          <w:t>press release</w:t>
        </w:r>
      </w:hyperlink>
      <w:r w:rsidRPr="00D817BA">
        <w:rPr>
          <w:rFonts w:asciiTheme="minorHAnsi" w:eastAsiaTheme="minorEastAsia" w:hAnsiTheme="minorHAnsi" w:cstheme="minorHAnsi"/>
          <w:color w:val="161616"/>
          <w:sz w:val="20"/>
          <w:szCs w:val="20"/>
          <w:lang w:val="en-GB"/>
        </w:rPr>
        <w:t>).</w:t>
      </w:r>
    </w:p>
    <w:p w14:paraId="5C79AE80" w14:textId="26174D8D" w:rsidR="004A628B" w:rsidRDefault="004A628B" w:rsidP="004A628B">
      <w:pPr>
        <w:pStyle w:val="Heading1"/>
        <w:rPr>
          <w:lang w:val="en-US"/>
        </w:rPr>
      </w:pPr>
      <w:r>
        <w:rPr>
          <w:lang w:val="en-US"/>
        </w:rPr>
        <w:t xml:space="preserve">II </w:t>
      </w:r>
      <w:r w:rsidRPr="00546B57">
        <w:rPr>
          <w:lang w:val="en-US"/>
        </w:rPr>
        <w:t>Anti-corruption framework</w:t>
      </w:r>
      <w:bookmarkEnd w:id="1"/>
      <w:r w:rsidRPr="00546B57">
        <w:rPr>
          <w:lang w:val="en-US"/>
        </w:rPr>
        <w:t xml:space="preserve"> </w:t>
      </w:r>
    </w:p>
    <w:p w14:paraId="4328586A" w14:textId="77777777" w:rsidR="004A628B" w:rsidRPr="00546B57" w:rsidRDefault="004A628B" w:rsidP="004A628B">
      <w:pPr>
        <w:pStyle w:val="Default"/>
        <w:ind w:left="1080"/>
        <w:rPr>
          <w:color w:val="auto"/>
          <w:sz w:val="22"/>
          <w:szCs w:val="22"/>
          <w:lang w:val="en-US"/>
        </w:rPr>
      </w:pPr>
    </w:p>
    <w:p w14:paraId="03D44AAA" w14:textId="77777777" w:rsidR="00C26983" w:rsidRPr="00C26983" w:rsidRDefault="003D7012" w:rsidP="00C26983">
      <w:pPr>
        <w:pStyle w:val="NoSpacing"/>
        <w:rPr>
          <w:rFonts w:ascii="Calibri" w:hAnsi="Calibri" w:cs="Calibri"/>
          <w:color w:val="161616"/>
          <w:lang w:val="en-GB"/>
        </w:rPr>
      </w:pPr>
      <w:hyperlink r:id="rId20" w:history="1">
        <w:r w:rsidR="00C26983" w:rsidRPr="00C26983">
          <w:rPr>
            <w:rStyle w:val="Hyperlink"/>
            <w:rFonts w:ascii="Calibri" w:hAnsi="Calibri" w:cs="Calibri"/>
            <w:lang w:val="en-GB"/>
          </w:rPr>
          <w:t>GRECO Addendum to the 2nd Compliance Report</w:t>
        </w:r>
      </w:hyperlink>
      <w:r w:rsidR="00C26983" w:rsidRPr="00C26983">
        <w:rPr>
          <w:rStyle w:val="Hyperlink"/>
          <w:rFonts w:ascii="Calibri" w:hAnsi="Calibri" w:cs="Calibri"/>
          <w:u w:val="none"/>
          <w:lang w:val="en-GB"/>
        </w:rPr>
        <w:t xml:space="preserve"> </w:t>
      </w:r>
      <w:r w:rsidR="00C26983" w:rsidRPr="00C26983">
        <w:rPr>
          <w:rStyle w:val="Hyperlink"/>
          <w:rFonts w:ascii="Calibri" w:hAnsi="Calibri" w:cs="Calibri"/>
          <w:color w:val="auto"/>
          <w:u w:val="none"/>
          <w:lang w:val="en-GB"/>
        </w:rPr>
        <w:t>(</w:t>
      </w:r>
      <w:r w:rsidR="00C26983" w:rsidRPr="00C26983">
        <w:rPr>
          <w:lang w:val="en-GB"/>
        </w:rPr>
        <w:t>8 July 2022)</w:t>
      </w:r>
      <w:hyperlink r:id="rId21" w:history="1"/>
    </w:p>
    <w:p w14:paraId="591613E4" w14:textId="163713DC" w:rsidR="004A628B" w:rsidRPr="00C26983" w:rsidRDefault="00C26983" w:rsidP="00C26983">
      <w:pPr>
        <w:rPr>
          <w:lang w:val="en-GB"/>
        </w:rPr>
      </w:pPr>
      <w:r w:rsidRPr="00813463">
        <w:rPr>
          <w:lang w:val="en-GB"/>
        </w:rPr>
        <w:t>4</w:t>
      </w:r>
      <w:r w:rsidRPr="00813463">
        <w:rPr>
          <w:vertAlign w:val="superscript"/>
          <w:lang w:val="en-GB"/>
        </w:rPr>
        <w:t>th</w:t>
      </w:r>
      <w:r w:rsidRPr="00813463">
        <w:rPr>
          <w:lang w:val="en-GB"/>
        </w:rPr>
        <w:t xml:space="preserve"> round: Addendum to the second Compliance report corruption prevention in respect of MPs, </w:t>
      </w:r>
      <w:proofErr w:type="gramStart"/>
      <w:r w:rsidRPr="00813463">
        <w:rPr>
          <w:lang w:val="en-GB"/>
        </w:rPr>
        <w:t>judges</w:t>
      </w:r>
      <w:proofErr w:type="gramEnd"/>
      <w:r w:rsidRPr="00813463">
        <w:rPr>
          <w:lang w:val="en-GB"/>
        </w:rPr>
        <w:t xml:space="preserve"> and prosecutors</w:t>
      </w:r>
    </w:p>
    <w:p w14:paraId="6D068EC2" w14:textId="4BE20767" w:rsidR="005D1849" w:rsidRDefault="001D0AE0" w:rsidP="00C26983">
      <w:pPr>
        <w:pStyle w:val="Heading1"/>
        <w:rPr>
          <w:lang w:val="en-US"/>
        </w:rPr>
      </w:pPr>
      <w:bookmarkStart w:id="2" w:name="_Toc36635845"/>
      <w:r>
        <w:rPr>
          <w:lang w:val="en-US"/>
        </w:rPr>
        <w:lastRenderedPageBreak/>
        <w:t xml:space="preserve">III </w:t>
      </w:r>
      <w:r w:rsidR="004A628B" w:rsidRPr="00546B57">
        <w:rPr>
          <w:lang w:val="en-US"/>
        </w:rPr>
        <w:t>Media pluralism</w:t>
      </w:r>
      <w:bookmarkEnd w:id="2"/>
      <w:r w:rsidR="004A628B" w:rsidRPr="00546B57">
        <w:rPr>
          <w:lang w:val="en-US"/>
        </w:rPr>
        <w:t xml:space="preserve"> </w:t>
      </w:r>
    </w:p>
    <w:p w14:paraId="1AD50C77" w14:textId="77777777" w:rsidR="00C26983" w:rsidRDefault="00C26983" w:rsidP="00C26983">
      <w:pPr>
        <w:rPr>
          <w:lang w:val="en-US"/>
        </w:rPr>
      </w:pPr>
    </w:p>
    <w:p w14:paraId="2FE983F2" w14:textId="50A31121" w:rsidR="00EC4F4F" w:rsidRPr="00C26983" w:rsidRDefault="00C26983" w:rsidP="00C26983">
      <w:pPr>
        <w:rPr>
          <w:lang w:val="en-US"/>
        </w:rPr>
      </w:pPr>
      <w:r>
        <w:rPr>
          <w:lang w:val="en-US"/>
        </w:rPr>
        <w:t xml:space="preserve">N/A </w:t>
      </w:r>
    </w:p>
    <w:p w14:paraId="3E1F9863" w14:textId="4C6F46FA" w:rsidR="004A628B" w:rsidRDefault="004A628B" w:rsidP="004A628B">
      <w:pPr>
        <w:pStyle w:val="Heading1"/>
        <w:rPr>
          <w:lang w:val="en-US"/>
        </w:rPr>
      </w:pPr>
      <w:bookmarkStart w:id="3" w:name="_Toc36635858"/>
      <w:r>
        <w:rPr>
          <w:lang w:val="en-US"/>
        </w:rPr>
        <w:t>I</w:t>
      </w:r>
      <w:r w:rsidR="001D0AE0">
        <w:rPr>
          <w:lang w:val="en-US"/>
        </w:rPr>
        <w:t>V</w:t>
      </w:r>
      <w:r>
        <w:rPr>
          <w:lang w:val="en-US"/>
        </w:rPr>
        <w:t xml:space="preserve"> </w:t>
      </w:r>
      <w:r w:rsidRPr="00546B57">
        <w:rPr>
          <w:lang w:val="en-US"/>
        </w:rPr>
        <w:t>Other institutional issues related to checks and balances</w:t>
      </w:r>
      <w:bookmarkEnd w:id="3"/>
      <w:r w:rsidRPr="00546B57">
        <w:rPr>
          <w:lang w:val="en-US"/>
        </w:rPr>
        <w:t xml:space="preserve"> </w:t>
      </w:r>
    </w:p>
    <w:p w14:paraId="6402C972" w14:textId="59F71871" w:rsidR="00C26983" w:rsidRDefault="00C26983" w:rsidP="00C26983">
      <w:pPr>
        <w:rPr>
          <w:lang w:val="en-US"/>
        </w:rPr>
      </w:pPr>
    </w:p>
    <w:p w14:paraId="30D2EC4D" w14:textId="148B60CF" w:rsidR="001A0B36" w:rsidRPr="0096152A" w:rsidRDefault="00C26983">
      <w:pPr>
        <w:rPr>
          <w:lang w:val="en-US"/>
        </w:rPr>
      </w:pPr>
      <w:r>
        <w:rPr>
          <w:lang w:val="en-US"/>
        </w:rPr>
        <w:t xml:space="preserve">N/A </w:t>
      </w:r>
    </w:p>
    <w:sectPr w:rsidR="001A0B36" w:rsidRPr="0096152A" w:rsidSect="00D82604">
      <w:footerReference w:type="default" r:id="rId2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3E38B" w14:textId="77777777" w:rsidR="00321C89" w:rsidRDefault="00321C89" w:rsidP="00857FF1">
      <w:r>
        <w:separator/>
      </w:r>
    </w:p>
  </w:endnote>
  <w:endnote w:type="continuationSeparator" w:id="0">
    <w:p w14:paraId="18ED1C9B" w14:textId="77777777" w:rsidR="00321C89" w:rsidRDefault="00321C89" w:rsidP="0085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1673527"/>
      <w:docPartObj>
        <w:docPartGallery w:val="Page Numbers (Bottom of Page)"/>
        <w:docPartUnique/>
      </w:docPartObj>
    </w:sdtPr>
    <w:sdtEndPr/>
    <w:sdtContent>
      <w:p w14:paraId="144A61D8" w14:textId="625B889C" w:rsidR="00D82604" w:rsidRDefault="00D82604">
        <w:pPr>
          <w:pStyle w:val="Footer"/>
          <w:jc w:val="right"/>
        </w:pPr>
        <w:r w:rsidRPr="00D82604">
          <w:rPr>
            <w:sz w:val="16"/>
            <w:szCs w:val="16"/>
          </w:rPr>
          <w:fldChar w:fldCharType="begin"/>
        </w:r>
        <w:r w:rsidRPr="00D82604">
          <w:rPr>
            <w:sz w:val="16"/>
            <w:szCs w:val="16"/>
          </w:rPr>
          <w:instrText>PAGE   \* MERGEFORMAT</w:instrText>
        </w:r>
        <w:r w:rsidRPr="00D82604">
          <w:rPr>
            <w:sz w:val="16"/>
            <w:szCs w:val="16"/>
          </w:rPr>
          <w:fldChar w:fldCharType="separate"/>
        </w:r>
        <w:r w:rsidRPr="00D82604">
          <w:rPr>
            <w:sz w:val="16"/>
            <w:szCs w:val="16"/>
          </w:rPr>
          <w:t>2</w:t>
        </w:r>
        <w:r w:rsidRPr="00D82604">
          <w:rPr>
            <w:sz w:val="16"/>
            <w:szCs w:val="16"/>
          </w:rPr>
          <w:fldChar w:fldCharType="end"/>
        </w:r>
      </w:p>
    </w:sdtContent>
  </w:sdt>
  <w:p w14:paraId="3E9F0107" w14:textId="77777777" w:rsidR="00D82604" w:rsidRDefault="00D826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28269" w14:textId="77777777" w:rsidR="00321C89" w:rsidRDefault="00321C89" w:rsidP="00857FF1">
      <w:r>
        <w:separator/>
      </w:r>
    </w:p>
  </w:footnote>
  <w:footnote w:type="continuationSeparator" w:id="0">
    <w:p w14:paraId="01D765E1" w14:textId="77777777" w:rsidR="00321C89" w:rsidRDefault="00321C89" w:rsidP="00857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0A5A"/>
    <w:multiLevelType w:val="hybridMultilevel"/>
    <w:tmpl w:val="B32060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F53C7"/>
    <w:multiLevelType w:val="hybridMultilevel"/>
    <w:tmpl w:val="6920601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A85205"/>
    <w:multiLevelType w:val="hybridMultilevel"/>
    <w:tmpl w:val="C56AE6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33385"/>
    <w:multiLevelType w:val="hybridMultilevel"/>
    <w:tmpl w:val="6C66E2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036DA"/>
    <w:multiLevelType w:val="hybridMultilevel"/>
    <w:tmpl w:val="F390826C"/>
    <w:lvl w:ilvl="0" w:tplc="E6B2EA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348FD"/>
    <w:multiLevelType w:val="hybridMultilevel"/>
    <w:tmpl w:val="E66E9ED6"/>
    <w:lvl w:ilvl="0" w:tplc="FEDAACE6">
      <w:start w:val="1"/>
      <w:numFmt w:val="bullet"/>
      <w:pStyle w:val="COEHI"/>
      <w:lvlText w:val="–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 w:hint="default"/>
        <w:lang w:val="fr-FR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27BB8"/>
    <w:multiLevelType w:val="hybridMultilevel"/>
    <w:tmpl w:val="1A4EAB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84890"/>
    <w:multiLevelType w:val="hybridMultilevel"/>
    <w:tmpl w:val="041015EA"/>
    <w:lvl w:ilvl="0" w:tplc="89FAE6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23926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0781263">
    <w:abstractNumId w:val="3"/>
  </w:num>
  <w:num w:numId="3" w16cid:durableId="1717663138">
    <w:abstractNumId w:val="4"/>
  </w:num>
  <w:num w:numId="4" w16cid:durableId="90050254">
    <w:abstractNumId w:val="0"/>
  </w:num>
  <w:num w:numId="5" w16cid:durableId="52049380">
    <w:abstractNumId w:val="7"/>
  </w:num>
  <w:num w:numId="6" w16cid:durableId="551312259">
    <w:abstractNumId w:val="5"/>
  </w:num>
  <w:num w:numId="7" w16cid:durableId="556091186">
    <w:abstractNumId w:val="5"/>
  </w:num>
  <w:num w:numId="8" w16cid:durableId="1717774162">
    <w:abstractNumId w:val="2"/>
  </w:num>
  <w:num w:numId="9" w16cid:durableId="7195953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7E7"/>
    <w:rsid w:val="0002205E"/>
    <w:rsid w:val="00031B18"/>
    <w:rsid w:val="00034A43"/>
    <w:rsid w:val="00044E24"/>
    <w:rsid w:val="000634B7"/>
    <w:rsid w:val="00090437"/>
    <w:rsid w:val="00095223"/>
    <w:rsid w:val="000A39DA"/>
    <w:rsid w:val="000A55C4"/>
    <w:rsid w:val="000A69F3"/>
    <w:rsid w:val="000C0F1F"/>
    <w:rsid w:val="000C34AF"/>
    <w:rsid w:val="000D09ED"/>
    <w:rsid w:val="000D4782"/>
    <w:rsid w:val="000E51C1"/>
    <w:rsid w:val="0011093E"/>
    <w:rsid w:val="00120135"/>
    <w:rsid w:val="001257E8"/>
    <w:rsid w:val="00130907"/>
    <w:rsid w:val="00140701"/>
    <w:rsid w:val="00172847"/>
    <w:rsid w:val="001A0B36"/>
    <w:rsid w:val="001A23FF"/>
    <w:rsid w:val="001A4E0D"/>
    <w:rsid w:val="001D0AE0"/>
    <w:rsid w:val="001D3360"/>
    <w:rsid w:val="002027E7"/>
    <w:rsid w:val="00254E3F"/>
    <w:rsid w:val="00263FD9"/>
    <w:rsid w:val="00282225"/>
    <w:rsid w:val="002A3826"/>
    <w:rsid w:val="002A3EE2"/>
    <w:rsid w:val="002B2FF2"/>
    <w:rsid w:val="002C4508"/>
    <w:rsid w:val="00321C89"/>
    <w:rsid w:val="0032439E"/>
    <w:rsid w:val="00371321"/>
    <w:rsid w:val="00372B8F"/>
    <w:rsid w:val="003C0D1F"/>
    <w:rsid w:val="003D7012"/>
    <w:rsid w:val="003E00FF"/>
    <w:rsid w:val="003E2616"/>
    <w:rsid w:val="003F0C2C"/>
    <w:rsid w:val="003F52FC"/>
    <w:rsid w:val="004152F1"/>
    <w:rsid w:val="004269AB"/>
    <w:rsid w:val="00452AF8"/>
    <w:rsid w:val="00456B30"/>
    <w:rsid w:val="0046136B"/>
    <w:rsid w:val="00483555"/>
    <w:rsid w:val="00493AEA"/>
    <w:rsid w:val="004A628B"/>
    <w:rsid w:val="004C3C5F"/>
    <w:rsid w:val="004D29C7"/>
    <w:rsid w:val="004D6381"/>
    <w:rsid w:val="004E1F91"/>
    <w:rsid w:val="004F243E"/>
    <w:rsid w:val="0052335C"/>
    <w:rsid w:val="005354EE"/>
    <w:rsid w:val="0054000F"/>
    <w:rsid w:val="005463B8"/>
    <w:rsid w:val="0054659B"/>
    <w:rsid w:val="005632A5"/>
    <w:rsid w:val="0057123C"/>
    <w:rsid w:val="005728A3"/>
    <w:rsid w:val="0059443D"/>
    <w:rsid w:val="005D1849"/>
    <w:rsid w:val="005D7A5D"/>
    <w:rsid w:val="005E18DC"/>
    <w:rsid w:val="005E2722"/>
    <w:rsid w:val="005F0E0E"/>
    <w:rsid w:val="00601F7A"/>
    <w:rsid w:val="0061659B"/>
    <w:rsid w:val="0065032A"/>
    <w:rsid w:val="00666A6E"/>
    <w:rsid w:val="00680789"/>
    <w:rsid w:val="00686249"/>
    <w:rsid w:val="006866E2"/>
    <w:rsid w:val="006A3C64"/>
    <w:rsid w:val="006B6601"/>
    <w:rsid w:val="006C4991"/>
    <w:rsid w:val="006C66A4"/>
    <w:rsid w:val="006D3771"/>
    <w:rsid w:val="006E74AE"/>
    <w:rsid w:val="00710718"/>
    <w:rsid w:val="00726BD7"/>
    <w:rsid w:val="00734D8B"/>
    <w:rsid w:val="00742FA8"/>
    <w:rsid w:val="00754B40"/>
    <w:rsid w:val="00776669"/>
    <w:rsid w:val="00784ACB"/>
    <w:rsid w:val="00785662"/>
    <w:rsid w:val="00794B57"/>
    <w:rsid w:val="007959C1"/>
    <w:rsid w:val="007B162E"/>
    <w:rsid w:val="007C4EF6"/>
    <w:rsid w:val="007C7012"/>
    <w:rsid w:val="007D198D"/>
    <w:rsid w:val="007F0F9C"/>
    <w:rsid w:val="007F30A8"/>
    <w:rsid w:val="00813463"/>
    <w:rsid w:val="00840B52"/>
    <w:rsid w:val="00857FF1"/>
    <w:rsid w:val="00864793"/>
    <w:rsid w:val="0089117E"/>
    <w:rsid w:val="00893504"/>
    <w:rsid w:val="008B51AE"/>
    <w:rsid w:val="00906B87"/>
    <w:rsid w:val="00931131"/>
    <w:rsid w:val="009369F3"/>
    <w:rsid w:val="0096152A"/>
    <w:rsid w:val="00976132"/>
    <w:rsid w:val="009A055B"/>
    <w:rsid w:val="009D0A73"/>
    <w:rsid w:val="009D68A7"/>
    <w:rsid w:val="009D7AD1"/>
    <w:rsid w:val="009E7CFA"/>
    <w:rsid w:val="00A128B8"/>
    <w:rsid w:val="00A35E08"/>
    <w:rsid w:val="00A52988"/>
    <w:rsid w:val="00A54D19"/>
    <w:rsid w:val="00AA506D"/>
    <w:rsid w:val="00AA7781"/>
    <w:rsid w:val="00AC72B8"/>
    <w:rsid w:val="00AD1CC8"/>
    <w:rsid w:val="00AD35C8"/>
    <w:rsid w:val="00AE34FF"/>
    <w:rsid w:val="00AE355A"/>
    <w:rsid w:val="00AE6F44"/>
    <w:rsid w:val="00AF3955"/>
    <w:rsid w:val="00B56D52"/>
    <w:rsid w:val="00B67BC5"/>
    <w:rsid w:val="00B807B6"/>
    <w:rsid w:val="00BB4391"/>
    <w:rsid w:val="00BD08D3"/>
    <w:rsid w:val="00BD6A65"/>
    <w:rsid w:val="00BE46F0"/>
    <w:rsid w:val="00BF1656"/>
    <w:rsid w:val="00C0257F"/>
    <w:rsid w:val="00C22F32"/>
    <w:rsid w:val="00C26983"/>
    <w:rsid w:val="00C427B6"/>
    <w:rsid w:val="00C43C27"/>
    <w:rsid w:val="00C45527"/>
    <w:rsid w:val="00C57BE4"/>
    <w:rsid w:val="00C6040A"/>
    <w:rsid w:val="00C74DD4"/>
    <w:rsid w:val="00C75135"/>
    <w:rsid w:val="00C86F4B"/>
    <w:rsid w:val="00C9300E"/>
    <w:rsid w:val="00CF10CE"/>
    <w:rsid w:val="00CF1C6F"/>
    <w:rsid w:val="00D040B1"/>
    <w:rsid w:val="00D042B1"/>
    <w:rsid w:val="00D244F7"/>
    <w:rsid w:val="00D42C1D"/>
    <w:rsid w:val="00D74DEB"/>
    <w:rsid w:val="00D817BA"/>
    <w:rsid w:val="00D82604"/>
    <w:rsid w:val="00D86026"/>
    <w:rsid w:val="00D948B2"/>
    <w:rsid w:val="00DC7320"/>
    <w:rsid w:val="00E44680"/>
    <w:rsid w:val="00E674A9"/>
    <w:rsid w:val="00E966BF"/>
    <w:rsid w:val="00EC4F4F"/>
    <w:rsid w:val="00EF1D14"/>
    <w:rsid w:val="00F06EAD"/>
    <w:rsid w:val="00F3151D"/>
    <w:rsid w:val="00F54516"/>
    <w:rsid w:val="00F7399F"/>
    <w:rsid w:val="00F80B1E"/>
    <w:rsid w:val="00F85BC4"/>
    <w:rsid w:val="00FB6911"/>
    <w:rsid w:val="00FC35C5"/>
    <w:rsid w:val="00FD2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7F250"/>
  <w15:chartTrackingRefBased/>
  <w15:docId w15:val="{A8D5A84A-A267-48E5-ACD7-D8361B347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C6F"/>
  </w:style>
  <w:style w:type="paragraph" w:styleId="Heading1">
    <w:name w:val="heading 1"/>
    <w:basedOn w:val="Normal"/>
    <w:next w:val="Normal"/>
    <w:link w:val="Heading1Char"/>
    <w:uiPriority w:val="9"/>
    <w:qFormat/>
    <w:rsid w:val="007959C1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59C1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59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9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59C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59C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59C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59C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59C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80789"/>
  </w:style>
  <w:style w:type="character" w:customStyle="1" w:styleId="Heading1Char">
    <w:name w:val="Heading 1 Char"/>
    <w:basedOn w:val="DefaultParagraphFont"/>
    <w:link w:val="Heading1"/>
    <w:uiPriority w:val="9"/>
    <w:rsid w:val="007959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59C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959C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9C1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59C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59C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59C1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59C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59C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959C1"/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7959C1"/>
    <w:pPr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59C1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59C1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959C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7959C1"/>
    <w:rPr>
      <w:b/>
      <w:bCs/>
    </w:rPr>
  </w:style>
  <w:style w:type="character" w:styleId="Emphasis">
    <w:name w:val="Emphasis"/>
    <w:basedOn w:val="DefaultParagraphFont"/>
    <w:uiPriority w:val="20"/>
    <w:qFormat/>
    <w:rsid w:val="007959C1"/>
    <w:rPr>
      <w:i/>
      <w:iCs/>
    </w:rPr>
  </w:style>
  <w:style w:type="paragraph" w:styleId="NoSpacing">
    <w:name w:val="No Spacing"/>
    <w:uiPriority w:val="1"/>
    <w:qFormat/>
    <w:rsid w:val="007959C1"/>
  </w:style>
  <w:style w:type="paragraph" w:styleId="Quote">
    <w:name w:val="Quote"/>
    <w:basedOn w:val="Normal"/>
    <w:next w:val="Normal"/>
    <w:link w:val="QuoteChar"/>
    <w:uiPriority w:val="29"/>
    <w:qFormat/>
    <w:rsid w:val="007959C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59C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59C1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59C1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7959C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959C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959C1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959C1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959C1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7959C1"/>
    <w:pPr>
      <w:outlineLvl w:val="9"/>
    </w:pPr>
  </w:style>
  <w:style w:type="paragraph" w:styleId="ListParagraph">
    <w:name w:val="List Paragraph"/>
    <w:basedOn w:val="Normal"/>
    <w:link w:val="ListParagraphChar"/>
    <w:uiPriority w:val="34"/>
    <w:qFormat/>
    <w:rsid w:val="00742FA8"/>
    <w:pPr>
      <w:ind w:left="720"/>
      <w:contextualSpacing/>
    </w:pPr>
  </w:style>
  <w:style w:type="character" w:styleId="Hyperlink">
    <w:name w:val="Hyperlink"/>
    <w:uiPriority w:val="99"/>
    <w:unhideWhenUsed/>
    <w:rsid w:val="001A0B36"/>
    <w:rPr>
      <w:color w:val="F49100"/>
      <w:u w:val="single"/>
    </w:rPr>
  </w:style>
  <w:style w:type="paragraph" w:styleId="NormalWeb">
    <w:name w:val="Normal (Web)"/>
    <w:basedOn w:val="Normal"/>
    <w:uiPriority w:val="99"/>
    <w:unhideWhenUsed/>
    <w:rsid w:val="001A0B36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ListParagraphChar">
    <w:name w:val="List Paragraph Char"/>
    <w:link w:val="ListParagraph"/>
    <w:uiPriority w:val="34"/>
    <w:locked/>
    <w:rsid w:val="001A0B36"/>
  </w:style>
  <w:style w:type="paragraph" w:styleId="TOC1">
    <w:name w:val="toc 1"/>
    <w:basedOn w:val="Normal"/>
    <w:next w:val="Normal"/>
    <w:autoRedefine/>
    <w:uiPriority w:val="39"/>
    <w:unhideWhenUsed/>
    <w:rsid w:val="006D377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D3771"/>
    <w:pPr>
      <w:spacing w:after="100"/>
      <w:ind w:left="200"/>
    </w:pPr>
  </w:style>
  <w:style w:type="paragraph" w:customStyle="1" w:styleId="Default">
    <w:name w:val="Default"/>
    <w:rsid w:val="00857FF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57FF1"/>
    <w:rPr>
      <w:rFonts w:eastAsiaTheme="minorHAn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7FF1"/>
    <w:rPr>
      <w:rFonts w:eastAsiaTheme="minorHAnsi"/>
    </w:rPr>
  </w:style>
  <w:style w:type="character" w:styleId="FootnoteReference">
    <w:name w:val="footnote reference"/>
    <w:basedOn w:val="DefaultParagraphFont"/>
    <w:uiPriority w:val="99"/>
    <w:semiHidden/>
    <w:unhideWhenUsed/>
    <w:rsid w:val="00857FF1"/>
    <w:rPr>
      <w:vertAlign w:val="superscript"/>
    </w:rPr>
  </w:style>
  <w:style w:type="paragraph" w:styleId="TOC3">
    <w:name w:val="toc 3"/>
    <w:basedOn w:val="Normal"/>
    <w:next w:val="Normal"/>
    <w:autoRedefine/>
    <w:uiPriority w:val="39"/>
    <w:unhideWhenUsed/>
    <w:rsid w:val="004A628B"/>
    <w:pPr>
      <w:spacing w:after="100"/>
      <w:ind w:left="400"/>
    </w:pPr>
  </w:style>
  <w:style w:type="paragraph" w:styleId="Header">
    <w:name w:val="header"/>
    <w:basedOn w:val="Normal"/>
    <w:link w:val="Head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123C"/>
  </w:style>
  <w:style w:type="paragraph" w:styleId="Footer">
    <w:name w:val="footer"/>
    <w:basedOn w:val="Normal"/>
    <w:link w:val="Foot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23C"/>
  </w:style>
  <w:style w:type="character" w:styleId="UnresolvedMention">
    <w:name w:val="Unresolved Mention"/>
    <w:basedOn w:val="DefaultParagraphFont"/>
    <w:uiPriority w:val="99"/>
    <w:semiHidden/>
    <w:unhideWhenUsed/>
    <w:rsid w:val="001728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F1C6F"/>
    <w:rPr>
      <w:color w:val="954F72" w:themeColor="followedHyperlink"/>
      <w:u w:val="single"/>
    </w:rPr>
  </w:style>
  <w:style w:type="paragraph" w:customStyle="1" w:styleId="COEHI">
    <w:name w:val="COE_HI"/>
    <w:basedOn w:val="Normal"/>
    <w:qFormat/>
    <w:rsid w:val="006C4991"/>
    <w:pPr>
      <w:numPr>
        <w:numId w:val="6"/>
      </w:numPr>
      <w:tabs>
        <w:tab w:val="left" w:pos="482"/>
      </w:tabs>
      <w:spacing w:line="240" w:lineRule="exact"/>
      <w:jc w:val="both"/>
    </w:pPr>
    <w:rPr>
      <w:rFonts w:ascii="Times New Roman" w:eastAsia="Times New Roman" w:hAnsi="Times New Roman" w:cs="Times New Roman"/>
      <w:color w:val="000000"/>
      <w:kern w:val="16"/>
      <w:sz w:val="21"/>
      <w:szCs w:val="24"/>
      <w:lang w:eastAsia="fr-FR"/>
    </w:rPr>
  </w:style>
  <w:style w:type="character" w:customStyle="1" w:styleId="docref">
    <w:name w:val="docref"/>
    <w:basedOn w:val="DefaultParagraphFont"/>
    <w:rsid w:val="00976132"/>
  </w:style>
  <w:style w:type="paragraph" w:customStyle="1" w:styleId="COEHeading2bis">
    <w:name w:val="COE_Heading2bis"/>
    <w:basedOn w:val="Normal"/>
    <w:qFormat/>
    <w:rsid w:val="004D29C7"/>
    <w:pPr>
      <w:keepNext/>
      <w:tabs>
        <w:tab w:val="left" w:pos="480"/>
      </w:tabs>
      <w:spacing w:before="240" w:after="240" w:line="240" w:lineRule="exact"/>
      <w:ind w:firstLine="482"/>
      <w:jc w:val="center"/>
    </w:pPr>
    <w:rPr>
      <w:rFonts w:ascii="Times New Roman" w:eastAsia="Times New Roman" w:hAnsi="Times New Roman" w:cs="Times New Roman"/>
      <w:caps/>
      <w:color w:val="000000"/>
      <w:kern w:val="16"/>
      <w:sz w:val="18"/>
      <w:szCs w:val="24"/>
      <w:lang w:eastAsia="fr-FR"/>
    </w:rPr>
  </w:style>
  <w:style w:type="paragraph" w:customStyle="1" w:styleId="COEHeading4">
    <w:name w:val="COE_Heading4"/>
    <w:basedOn w:val="Normal"/>
    <w:next w:val="Normal"/>
    <w:rsid w:val="004D29C7"/>
    <w:pPr>
      <w:keepNext/>
      <w:suppressAutoHyphens/>
      <w:spacing w:before="240" w:after="240" w:line="240" w:lineRule="exact"/>
      <w:ind w:left="1134" w:right="1134"/>
      <w:jc w:val="center"/>
    </w:pPr>
    <w:rPr>
      <w:rFonts w:ascii="Times New Roman" w:eastAsia="Times New Roman" w:hAnsi="Times New Roman" w:cs="Times New Roman"/>
      <w:b/>
      <w:color w:val="000000"/>
      <w:kern w:val="16"/>
      <w:sz w:val="21"/>
      <w:szCs w:val="21"/>
      <w:lang w:val="en-GB" w:eastAsia="fr-FR"/>
    </w:rPr>
  </w:style>
  <w:style w:type="paragraph" w:customStyle="1" w:styleId="xmsonormal">
    <w:name w:val="x_msonormal"/>
    <w:basedOn w:val="Normal"/>
    <w:rsid w:val="004D29C7"/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xxxxxmsonormal">
    <w:name w:val="x_x_x_x_xmsonormal"/>
    <w:basedOn w:val="Normal"/>
    <w:rsid w:val="00BB4391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coesource">
    <w:name w:val="coesource"/>
    <w:basedOn w:val="Normal"/>
    <w:rsid w:val="007C4EF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CommentReference">
    <w:name w:val="annotation reference"/>
    <w:basedOn w:val="DefaultParagraphFont"/>
    <w:uiPriority w:val="99"/>
    <w:semiHidden/>
    <w:unhideWhenUsed/>
    <w:rsid w:val="00D817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17B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17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17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17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coe.int/en/web/greco/-/finland-publication-of-the-fifth-round-compliance-report" TargetMode="External"/><Relationship Id="rId18" Type="http://schemas.openxmlformats.org/officeDocument/2006/relationships/hyperlink" Target="https://search.coe.int/cm/Pages/result_details.aspx?Reference=CM/Del/Dec(2022)1451/H46-10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coe.int/en/web/greco/-/finland-publication-of-the-fifth-round-compliance-report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m.coe.int/its-fourth-evaluation-round-addendum-to-the-second-compliance-report-o/1680a72b8f" TargetMode="External"/><Relationship Id="rId17" Type="http://schemas.openxmlformats.org/officeDocument/2006/relationships/hyperlink" Target="https://www.coe.int/en/web/execution/cypru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coe.int/en/web/national-implementation/cyprus-new-enhancing-the-capacity-of-the-justice-system-by-an-effective-implementation-of-the-reform-recommendations-and-processes" TargetMode="External"/><Relationship Id="rId20" Type="http://schemas.openxmlformats.org/officeDocument/2006/relationships/hyperlink" Target="https://rm.coe.int/its-fourth-evaluation-round-addendum-to-the-second-compliance-report-o/1680a72b8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e.int/web/cepej/country-profiles/cyprus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supremecourt.gov.cy/judicial/sc.nsf/All/3C14E6251DEC1DEFC22586F80027A8AA?OpenDocument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m.coe.int/cyprus-country-fiche/1680a7785f" TargetMode="External"/><Relationship Id="rId19" Type="http://schemas.openxmlformats.org/officeDocument/2006/relationships/hyperlink" Target="https://www.coe.int/en/web/cpt/-/council-of-europe-anti-torture-committee-monitors-treatment-of-foreign-nationals-during-return-flight-from-belgium-and-cyprus-to-the-democratic-repub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m.coe.int/country-profile-cyprus-en/1680a9671c" TargetMode="External"/><Relationship Id="rId14" Type="http://schemas.openxmlformats.org/officeDocument/2006/relationships/hyperlink" Target="https://www.coe.int/en/web/national-implementation/-/modernisation-of-the-cypriot-civil-procedure-joint-project-of-the-eu-and-the-council-of-europe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68519-6037-4A45-9505-4D7703363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494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PEARD Valerie</dc:creator>
  <cp:keywords/>
  <dc:description/>
  <cp:lastModifiedBy>NEDELJKOVIC Katarina</cp:lastModifiedBy>
  <cp:revision>6</cp:revision>
  <dcterms:created xsi:type="dcterms:W3CDTF">2023-01-18T14:31:00Z</dcterms:created>
  <dcterms:modified xsi:type="dcterms:W3CDTF">2023-01-19T12:00:00Z</dcterms:modified>
</cp:coreProperties>
</file>